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«Первая грузовая компания» обратилось в Арбитражный суд города Москвы с иском о взыскании с акционерного общества «Евроцемент груп» 3 638 000 рублей штрафа за сверхнормативный простой вагонов под погрузкой по договору от 30.04.2015 № АО-ДД/СО-58/15. Решением Арбитражного суда города Москвы от 29.03.2019 иск удовлетворен в части взыскания 2 546 600 рублей штрафа, в удовлетворении иска в остальной части отказано. Постановлением Девятого арбитражного апелляционного суда от 21.06.2019 решение суда первой инстанции оставлено без изменения. Арбитражный суд Московского округа постановлением от 09.10.2019 указанные судебные акты оставил без изменения. Акционерное общество «Первая грузовая компания»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отказа в удовлетворении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309 , 310 , 330 Гражданского кодекса Российской Федерации, суды пришли к выводу об обязанности ответчика, допустившего сверхнормативный простой вагонов, оплатить штраф в соответствии с условиями договора, усмотрев основания для снижения размера штрафа на основании статьи 333 Гражданского кодекса Российской Федерации. Доводы, изложенные в жалобе, об отсутствии оснований для снижения размера штрафа,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«Первая грузовая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Первая Грузовая Компания (подробнее) Ответчики: АО "ЕВРОЦЕМЕНТ ГРУП" (подробнее) Судьи дела: Зарубина Е.Н.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