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13.05.2019, оставленным без изменения постановлением Пятнадцатого арбитражного апелляционного суда от 17.07.2019 и постановлением Арбитражного суда Северо-Кавказского округа от 19.11.2019,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оспоренные решения приняты инспекцией по результатам камеральной налоговой проверки представленной обществом уточненной налоговой декларации по НДС за II квартал 2015 года, в которой налоговая база уменьшена на сумму предварительной оплаты (авансов) в размере 37 251 724 рублей, произведенной ООО «Феникс-Инвест» (заказчик) по договору строительного подряда. Основанием для отказа в привлечении к налоговой ответственности и возмещении НДС послужил вывод инспекции о неправомерном уменьшении налоговой базы с оплаты, полученной в счет предстоящего выполнения работ. Рассматривая спор, суды, оценив представленные в материалы дела доказательства, руководствуясь положениями статей 146 , 154 , 167 , 171 , 172 Налогового кодекса Российской Федерации, статей 453 , 706 , 711 , 715 , 717 , 740 , 746 , 1102 Гражданского кодекса Российской Федерации, принимая во внимание обстоятельства, установленные вступившими в законную силу судебными актами по делу № А53-25906/2016, пришли к выводу о законности оспоренных решений ввиду отсутствия у общества правовых оснований для корректировки налоговой базы по НДС за период исчисления данного налога с суммы полученного аванса и предъявления налога к вычету. Судебные инстанции исходили из того, что денежные средства, полученные обществом в счет предстоящего выполнения работ и взысканные решением суда по делу А53-25906/2016, подлежат квалификации для целей налогообложения НДС в качестве возврата заказчику предварительной оплаты по расторгнутому договору подряда. При этом именование судом данных денежных средств как аванса или неосновательного обогащения в рассматриваемом случае правового значения не имеет. Доводы, изложенные в кассационной жалобе, повторяют позицию заявителя по спору, являлись предметом рассмотрения судов и получили надлежащую правовую оценку. Приведенные доводы не свидетельствуют о существенном нарушении норм материального и норм процессуального права, повлиявших на исход дела, по существу, выражают несогласие с выводами судов по фактическим обстоятельствам дела и основаны на ошибочном применении к ним положений законодательства, в связи с чем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««РКС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"РКС ГРУПП" (подробнее) Ответчики: Межрайонная инспекция Федеральной налоговой службы №25 по Ростовской области (подробнее) ФНС России Управление по РО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