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13.03.2019, оставленным без изменения постановлением Пятнадцатого арбитражного апелляционного суда от 19.07.2019 и постановлением Арбитражного суда Северо-Кавказского округа от 03.10.2019,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Предъявленные взаимные требования предпринимателя (подрядчика) и общества (заказчика) основаны на договоре подряда от 01.07.2015 № 01.07-15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подписанные сторонами акт о приемке выполненных работ, акт сверки взаимных расчетов, суды первой и апелляционной инстанций установили факт надлежащего выполнения подрядчиком работ, принятых заказчиком без замечаний, и отсутствие доказательств их оплаты в полном объеме. При таких обстоятельствах, руководствуясь статьями 702 , 711 , 720 , 753 Гражданского кодекса Российской Федерации, суды пришли к выводу о наличии оснований для удовлетворения первоначального иска и необоснованности встречных требований. С указанными выводами впоследствии согласился суд округа. Довод заявителя о непередаче ему исполнительной документации являлся предметом рассмотрения судов и получил оценку.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«Стройавтодор»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"Стройавтодор"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