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Магаданской области от 04.03.2019, оставленным без изменения постановлением Шестого арбитражного апелляционного суда от 14.06.2019 и постановлением Арбитражного суда Дальневосточного округа от 14.10.2019, в удовлетворении иска отказано. В кассационной жалобе учреждение просит об отмене указанных судебных актов как противоречащих фактическому объему оказанных услуг.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указал, что исходя из согласованного сторонами условия о ежемесячном фиксированном платеже за услугу, в рамках договора от 18.04.2017 № 4/24044 учреждение осуществляло абонентское обслуживание банка, размер платы за которое не зависит от объема оказанной услуги. В такой ситуации суды правильно не применили к требованию о взыскании стоимости оказанных в рамках договора услуг норму статьи 1102 Гражданского кодекса Российской Федерации. Иная квалификация учреждением услуг, об оплате которых предъявлен иск, не образует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государственному казенному учреждению «Отдел вневедомственной охраны войск национальной гвардии Российской Федерации по Магаданской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Федеральное государственное казенное учреждение "Отдел вневедомственной охраны войск национальной гвардии Российской Федерации по Магаданскойобласти" (подробнее) Ответчики: ПАО "Азиатско-Тихоокеанский Банк" в лице Операционного офиса №100 в г. Магадан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