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31.01.2019, оставленным без изменения постановлением Восемнадцатого арбитражного апелляционного суда от 13.06.2019, заявленное требование удовлетворено. Постановлением Арбитражного суда Уральского округа от 01.10.2019 решение суда первой инстанции и постановление суда апелляционной инстанции отменены, в удовлетворении требования отказано. В кассационной жалобе, поданной в Верховный Суд Российской Федерации, комитет просит отменить постановление суда округа, ссылаясь на существенное нарушение норм права, оставить в силе судебные акты судов первой и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вынесения оспоренного решения послужил вывод управления о нарушении комитетом части 1 статьи 15 Федерального закона от 26.07.2006 № 135-ФЗ «О защите конкуренции» (далее - Закон о защите конкуренции), выразившемся в утверждении муниципальных заданий на 2016-2017 годы, что привело или могло привести к созданию необоснованных преимуществ осуществления деятельности отдельному хозяйствующему субъекту - учреждению, выполнением работ для муниципальных нужд за счет средств муниципального бюджета без проведения конкурентных процедур и к устранению конкуренции при размещении муниципального заказа на выполнение работ в сфере благоустройства и озеленения, в том числе ввиду ограничений доступа к соответствующим товарным рынкам, что необоснованно препятствует осуществлению деятельности хозяйствующих субъектов, способных конкурировать за получение бюджетных денежных средств в случае проведения публичных процедур, и в случае признания победителями - выполнять указанные работы. Не согласившись с решением антимонопольного органа, комитет обратился в арбитражный суд. Признавая решение управления недействительным, суды первой и апелляционной инстанций исходили из того, что с учетом закрепленной законодателем возможности создавать бюджетное учреждение, утверждение для него комитетом спорных муниципальных заданий на 2016-2017 годы не является нарушением части 1 статьи 15 Закона о защите конкуренции. Отменяя судебные акты, суд округа, руководствуясь положениями статьи 15 Закона о защите конкуренции, статьями 3, 8, 24 Федерального закона от 05.04.2013 № 44-ФЗ «О контрактной системе в сфере закупок товаров, работ, услуг для обеспечения государственных и муниципальных нужд» (далееЗакон о контрактной системе), статьями 6 , 69.2 , 72 Бюджетного кодекса Российской Федерации, пришел к выводу о наличии у антимонопольного органа правовых оснований для вынесения оспоренного решения. Суд округа исходил из того, что предусмотренные для учреждения муниципальными заданиями работы необходимы для решения вопросов местного значения и являются муниципальными нуждами, должны осуществляться в порядке, предусмотренном Законом о контрактной системе. Как указал суд округа, установив безальтернативный порядок выполнения работ в сфере благоустройства посредством выдачи муниципальных заданий без проведения конкурентных процедур, комитет создал необоснованные преимущества осуществления деятельности для отдельного хозяйствующего субъекта, что необоснованно препятствует осуществлению деятельности хозяйствующих субъектов, способных конкурировать за получение бюджетных денежных средств в случае проведения публичных процедур. Доводы, изложенные в кассационной жалобе, не подтверждают существенных нарушений судом округа норм материального и процессуального права, повлиявших на исход дела, основаны на ином применении положений законодательства к установленным обстоятельствам дела, что не может служить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Комитету по управлению имуществом и земельным отношениям города Челябинска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Комитет по управлению имуществом и земельным отношениям города Челябинска (подробнее) Ответчики: Управление Федеральной антимонопольной службы по Челябинской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