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«Мастерстрой» обратилось в Арбитражный суд города Москвы с иском о взыскании с акционерного общества «Страховое общество газовой промышленности» 2 090 794 рублей 54 копеек страхового возмещения по договору страхования транспортного средства от 16.05.2017 № 1817-82МТ0505 и 95 983 рублей 21 копейки процентов за пользование чужими денежными средствами. Решением Арбитражного суда города Москвы от 29.04.2019 в удовлетворении иска отказано. Постановлением Девятого арбитражного апелляционного суда от 12.08.2019 решение суда первой инстанции оставлено без изменения. Арбитражный суд Московского округа постановлением от 06.11.2019 указанные судебные акты оставил без изменения. Общество с ограниченной ответственностью «Мастерстрой»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420 , 421 , 943 Гражданского кодекса Российской Федерации, статьей 25 Федерального закона от 10.12.1995 № 196-ФЗ «О безопасности дорожного движения», учитывая Правила страхования, суды сделали вывод об отсутствии с оснований для признания произошедшего события страховым случаем.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«Мастерстрой»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 МАСТЕРСТРОЙ" (подробнее) Ответчики: АО "СТРАХОВОЕ ОБЩЕСТВО ГАЗОВОЙ ПРОМЫШЛЕННОСТИ"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