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Мамыкина А.Ю. обратилась в суд с заявлением о включении в реестр требований кредиторов должника задолженности в размере 30 032 016 рублей 78 копеек. Определением Арбитражного суда города Москвы от 23.04.2019 требование Мамыкиной А.Ю. в размере 28 068 493 рублей 15 копеек основного долга включено в третью очередь удовлетворения реестра, а требование в размере 1 963 523 рублей 80 копеек процентов за пользование чужими денежными средствами – в третью очередь отдельно с удовлетворением после погашения основной задолженности и причитающихся процентов. Постановлением Девятого арбитражного апелляционного суда от 18.07.2019, оставленным без изменения Арбитражного суда Московского округа от 03.10.2019,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апелляционный суд, основываясь на оценке имеющихся в деле доказательств в соответствии с правилами главы 7 Арбитражного процессуального кодекса Российской Федерации, руководствуясь статьями 807, 810, 812 Гражданского кодекса Российской Федерации, статьями 71, 100 Федерального закона от 26.10.2002 № 127-ФЗ «О несостоятельности (банкротстве)», разъяснениями, изложенными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отсутствия оснований для удовлетворения требования ввиду непредставления заявителем доказательств, подтверждающих снятие со своего расчётного счёта, пополняемого преимущественно за счёт безналичной выплаты дивидендов, наличных денежных средств для последующей передачи должнику по расписке. Сведений о расходовании полученных должником средств также не имеется. Мотивы предоставления нового займа, когда по предыдущему договору займа должник в установленный и наступивший срок свои обязательства по возврату денежных средств не исполнил, суду не приведены. Суд округа поддержал выводы апелляционного суда об искусственном увеличении заявителем кредиторской задолженности и причинения вреда имущественным правам иных кредиторов должника.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апелляционной инстанции и округа,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Мамыкиной Анне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