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Кемеровской области от 28.01.2019, оставленным без изменения постановлением Седьмого арбитражного апелляционного суда от 07.05.2019, в удовлетворении заявленного требования отказано. Постановлением Арбитражного суда Западно-Сибирского округа от 30.09.2019 указанные судебные акты оставлены без изменения. В кассационной жалобе, поступившей в Верховный Суд Российской Федерации, общество просит отменить названные судебные акты, считая их принятыми с существенным нарушением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налоговый орган доначислил налог на добавленную стоимость, предложил уменьшить остаток неперенесенного убытка, представить уточненные декларации по налогу на прибыль. Отказывая в удовлетворении требования и признавая обоснованными выводы налогового органа, суды руководствовались положениями статей 169 , 171 , 172 , 250 , 252 Налогового кодекса Российской Федерации, а также правовой позицией, изложенной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При этом суды исходили из того, что налогоплательщиком создан формальный документооборот, установлены противоречия в представленных документах; правомерности включения налоговым органом в состав внереализационных доходов суммы кредиторской задолженности с истекшим сроком исковой давности.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 не согласиться с которой оснований не имеется.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"Разрез Талдинский-Западный" (подробнее) Ответчики: межрайонная инспекция Федеральной налоговой службы №11 по Кемеровской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