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20.03.2019, оставленным без изменения постановлением Девятого арбитражного апелляционного суда от 26.06.2019 и постановлением Арбитражного суда Московского округа от 01.10.2019,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1, 9, 11, 12, 166, 167, 168 Гражданского кодекса Российской Федерации, учитывая, что с требованиями о признании договоров поручительства по указанным в иске основаниям общество в суд не обращалось и эти требования не были предметом судебного разбирательства, пришли к выводу об отсутствии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«Агро-Альянс»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