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01.03.2019, оставленным без изменения постановлением Четвертого арбитражного апелляционного суда от 21.06.2019 и постановлением Арбитражного суда Восточно-Сибирского округа от 14.11.2019,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руководствовались статьями 309 , 310 , 454 , 458 , 506 , 516 Гражданского кодекса Российской Федерации и исходили из подтвержденности факта поставки товара и наличия у общества обязанности по его оплате. При этом судами отклонены доводы ответчика о непередаче истцом документации на товар со ссылкой на положения статьи 464 Гражданского кодекса Российской Федерации и обстоятельства, связанные с фактической приемкой товара обществом. Доводы заявителя о необходимости применения в настоящем деле положений части 2 статьи 69 Арбитражного процессуального кодекса Российской Федерации были предметом рассмотрения судов и получили правовую оценку. Доводы кассационной жалобы не опровергают выводы судов и не подтверждают существенных нарушений норм материального и процессуального права, повлиявших на исход дела,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«Братское монтажное управление Гидроэлектромонтаж»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Зайцева Оксана Валерьевна (подробнее) Ответчики: ООО "Братское монтажное предприятие Гидроэлектромонтаж" (подробнее) Судьи дела: Чучунова Н.С.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