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пересмотре по вновь открывшимся обстоятельствам определения Арбитражного суда Московской области от 25.05.2018 об отказе во включении в реестр требований кредиторов должника его требований в размере 126 004 843 рубля 74 копейки. Определением Арбитражного суда города Москвы от 28.02.2019, оставленным без изменения постановлениями Девятого арбитражного апелляционного суда от 20.05.2019 и Арбитражного суда Московского округа от 25.09.2019, заявление оставлено без удовлетворения.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 первой инстанции руководствовался положениями статей 309-312 Арбитражного процессуального кодекса Российской Федерации и исходил из того, что указанные в нём обстоятельства не могут являться основанием для пересмотра ранее принятого судебного акта по вновь открывшимся обстоятельствам, а представленные заявителем новые доказательства не свидетельствуют об ошибочности выводов о прекращении поручительства, с чем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«Стройпроект»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