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20.03.2019, оставленным без изменения постановлением Пятнадцатого арбитражного апелляционного суда от 06.06.2019 и постановление Арбитражного суда Северо-Кавказского округа от 08.10.2019,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проведена камеральная налоговая проверка декларации общества по налогу на прибыль за 9 месяцев 2017 года. По результатам проверки и дополнительным мероприятиям налогового контроля инспекцией вынесено решение об отказе в привлечении к ответственности за совершение налогового правонарушения, которым обществу начислен 1 179 871 рубль налога на прибыль и 113 796 рублей 16 копеек пеней. Основанием для доначисления налога послужил вывод инспекции о занижении обществом налоговой базы в связи с невключением в состав доходов стоимости переданных ФИО1 земельных участков. Считая решение инспекции незаконным, общество обратилось в арбитражный суд. Оценив представленные в материалы дела доказательства, суды, руководствуясь положениями статей 39 , 247 , 252 , 268 Налогового кодекса Российской Федерации, статей 23, 26 Федерального закона от 08.02.1998 № 14-ФЗ «Об обществах с ограниченной ответственностью», Федеральным законом от 05.05.2014 № 99-ФЗ «О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Федерации», разъяснениями, изложенными в пункте 107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пришел к выводу о законности оспоренного решения ввиду доказанности налоговым органом совокупности обстоятельств, свидетельствующих о направленности действий общества на получение необоснованной налоговой выгоды. Судебные инстанции исходили из того, что передача земельных участков физическому лицу фактически представляла собой реализацию имущества, а не выплату участнику общества действительной стоимости доли в уставном капитале. При этом после передачи спорных земельных участков общество продолжило их использовать в своей повседневной хозяйственной деятельности, пользуясь ими на праве аренды с ежемесячным внесением арендных платежей в сумме, позволяющей выплатить долю Плахотя Т.А. в течение трех месяцев. Доводы, изложенные в кассационной жалобе, сводятся к несогласию общества с квалификацией действий по передаче земельных участков в качестве реализации имущества. Приведенные доводы являлись предметом рассмотрения судов, получили правовую оценку и с учетом установленных обстоятельств не подтверждают существенных нарушений норм материального и процессуального права, повлиявших на исход дела. По существу доводы жалобы выражают несогласие с выводами судов по фактическим обстоятельствам настоящего спора и направлены на их переоценку, что не может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«Согрис»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"Согрис" (подробнее) Ответчики: Межрайонная ИФНС №18 по РО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