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26.02.2019, оставленным без изменения постановлением Девятого арбитражного апелляционного суда от 27.05.2019 и постановлением Арбитражного суда Московского округа от 30.09.2019, заявленное требование удовлетворено частично, безнадежной к взысканию признана задолженность в размере 597 616 рублей. В удовлетворении требования в остальной части отказано. В кассационной жалобе, поданной в Верховный Суд Российской Федерации, конкурсный управляющий общества, ссылаясь на существенное нарушение норм права, просит отменить судебные акты в части отказа в удовлетворении заявления и в данной части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обращаясь с настоящим заявлением в арбитражный суд, конкурсный управляющий ссылался на утрату инспекцией права на взыскание налоговой задолженности. Оценив представленные в материалы дела доказательства, суды, руководствуясь положениями статей 44 , 59 , 70 Налогового кодекса Российской Федерации, разъяснениями, изложенными в пунктах 9, 10, 51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правовой позицией, сформулированной в определении Конституционного Суда Российской Федерации от 26.05.2016 № 1150-О и Обзоре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утвержденном Президиумом Верховного Суда Российской Федерации 20.12.2016, учитывая представленный налоговым органом расчет сумм задолженности на дату судебного заседания, пришли к выводу о наличии правовых оснований для признания задолженности общества в размере 597 616 рублей безнадежной к взысканию и обязанности по ее уплате прекращенной в связи с истечением трехлетнего срока с момента образования задолженности. При этом отказывая в удовлетворении требования в остальной части, судебные инстанции указали на не истечение на дату судебного заседания трехлетнего срока с момента образования задолженности. Доводы, изложенные в кассационной жалобе, в том числе о неверном расчете налоговой задолженности и квалификации задолженности за период 12 месяцев 2014 года в качестве текущей, повторяют позицию конкурсного управляющего по спору и о существенном нарушении норм материального и процессуального права, повлиявших на исход дела, не свидетельствуют. По существу доводы жалобы выражают несогласие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«Группа компаний «Энерготехмонтаж»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КУ ЗАО ГК (подробнее) КУ ЗАО ГК Энерготехмонтаж (подробнее) Ответчики: МИФНС России №26 по г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