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 лице государственной корпорации «Агентство по страхованию вкладов» обратился в суд с заявлением о признании недействительной сделкой банковской операции по переводу обществом 04.07.2017 денежных средств в сумме 5 152 905 рублей 34 копеек на счёт другой кредитной организации, применении последствий недействительности сделки. Определением Арбитражного суда города Москвы от 11.04.2019, оставленным без изменения постановлениями Девятого арбитражного апелляционного суда от 29.07.2019 и Арбитражного суда Московского округа от 30.10.2019, заявление удовлетворено.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61.3, 189.40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оснований для признания недействительной сделки, совершённой с оказанием заявителю предпочтения относительно требований иных кредиторов при наличии картотеки неисполненных платёжных документов в банке, что свидетельствовало о выходе последней за пределы обычной хозяйственной деятельности, при этом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деле путём использования систем видеоконференц-связи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«Омскстрой-Инвест»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«Омскстрой- Инвест»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