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08.04.2019, оставленным без изменения постановлением Третьего арбитражного апелляционного суда от 16.07.2019, первоначальный иск удовлетворен, встречный иск удовлетворен частично. В результате зачета взысканных сумм с общества «Салюс» в пользу общества «Тагульское» взыскано 54 917 100 рублей 11 копеек задолженности. Постановлением Арбитражного суда Восточно-Сибирского округа от 16.10.2019 решение и постановление апелляционного суда отменены, дело направлено на новое рассмотрение в суд первой инстанции. В кассационной жалобе общество «Тагульское» просит отменить постановление окружного суда вследствие незаконной переоценки состоявшегося зачета встречных однородных требований.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нижестоящие суды требование по первоначальному иску рассмотрели в качестве неосновательного обогащения против предъявленного обществом «Тагульское» требования о взыскании неустойки и признали допустимым его зачет в отсутствие установления возможного зачета неустойки, окружной суд отменил судебные акты в пределах полномочий, предоставленных статьями 286 , 287 Арбитражного процессуального кодекса Российской Федерации, и правомерно направил дело на новое рассмотрение для установления необходимых для его разрешения обстоятельств.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«Тагульское»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"Тагульское" (подробнее) Ответчики: ООО "Салюс"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