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января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Спиридонов И.Ф. обратился в Верховный Суд Российской Федерации с кассационной жалобой на указанные судебные акты, одновременно заявив ходатайство о восстановлении пропущенного срока ее подачи. В соответствии с частью 2 статьи 291.2 Арбитражного процессуального кодекса Российской Федерации (далее –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2 Ходатайство о восстановлении пропущенного срока подачи кассационной жалобы, представления рассматривается судьей Верховного Суда Российской Федерации в порядке, предусмотренном статьей 117 АПК РФ (часть 3 статьи 291.2 АПК РФ).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292 и 312 названного Кодекса предельные допустимые сроки для его восстановления. Поскольку ходатайство о восстановлении пропущенного процессуального срока заявлено Спиридоновым И.Ф. в пределах установленного срока, причины пропуска срока признаны судом уважительными, данное ходатайство подлежит удовлетворению. Руководствуясь статьями 117, 184, 291.2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Спиридонова Игоря Федоровича удовлетворить. Срок подачи кассационной жалобы на постановление Второго арбитражного апелляционного суда от 11.06.2019 и постановление Арбитражного суда Волго-Вятского округа от 29.10.2019 по делу № А29-11085/2018 восстановить.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