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13.05.2019, оставленным без изменения постановлением Четвертого арбитражного апелляционного суда от 25.07.2019, в удовлетворении заявленного требования отказано. Постановлением Арбитражного суда Восточно-Сибирского округа от 05.11.2019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суды отказали в удовлетворении требования, признав, что обществом пропущен процессуальный срок для обжалования действий и бездействия таможенного органа в судебном порядке, ходатайства о восстановлении срока не заявлялось; доказательств нарушения прав и законных интересов не представлено. При установленных судами обстоятельствах отсутствия ходатайства о восстановлении пропущенного срока, поскольку общество полагает соблюденным процессуальный порядок обжалования действий (бездействия) таможенного органа в судебном порядке, приведенные в жалобе доводы не подтверждают существенные нарушения норм материального и (или) процессуального права, которые могли повлиять на исход дела, направлены на переоценку фактических обстоятельств дела и представленных в материалы дела доказательств.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"Сиблес" (подробнее) Ответчики: Читинская таможня (подробнее) Иные лица: Забайкальский районный суд Судье Дёминой Н.В.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