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18.04.2019, оставленным без изменения постановлением Десятого арбитражного апелляционного суда от 20.06.2019 и постановлением Арбитражного суда Московского округа от 03.10.2019, иск удовлетворен. В кассационной жалобе учреждение просит об отмене указанных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обстоятельства исполнения муниципального контракта от 02.10.2018 № 03482000810117000278, установили поставку обществом (поставщиком) товара, принятого учреждением (заказчиком) без замечаний и не оплаченного последним, поэтому удовлетворили иск в соответствии со статьями 486 , 516 , 525 Гражданского кодекса Российской Федерации. Доводы жалобы не опровергают установленных судами обстоятельств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Московской области «Дирекция единого заказчика Министерства здравоохранения Московской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"МедТехника" (подробнее) Ответчики: ГОСУДАРСТВЕННОЕ КАЗЕННОЕ УЧРЕЖДЕНИЕ МОСКОВСКОЙ ОБЛАСТИ "ДИРЕКЦИЯ ЕДИНОГО ЗАКАЗЧИКА МИНИСТЕРСТВА ЗДРАВООХРАНЕНИЯ МОСКОВСКОЙ ОБЛАСТИ"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