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Рязанской области от 19.07.2018, оставленным без изменения постановлением Двадцатого арбитражного апелляционного суда от 14.05.2019, в удовлетворении заявленного требования отказано. 2 Постановлением Арбитражного суда Центрального округа от 16.10.2019 решение суда первой инстанции и постановление суда апелляционной инстанции отменены в части отказа в удовлетворении требования о признании недействительным решения инспекции по эпизоду, связанному с доначислением налога на добавленную стоимость, пени и штрафа по данному налогу и дело в указанной части направлено на новое рассмотрение в суд первой инстанции. В остальной части судебные акты оставлены без изменения.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в части отказа в удовлетворении требования и в этой части направить дело на новое рассмотрение в суд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оспоренным решением, принятым по результатам выездной налоговой проверки, обществу доначислено 34 770 500 рублей налога на добавленную стоимость, 2 042 066 рублей налога на прибыль и 172 686 рублей налога на имущество, начислено 11 447 413 рублей пеней и 15 056 226 рублей штрафа по пункту 1 статьи 119 и пункту 1 статьи 122 Налогового кодекса Российской Федерации (далее – Налоговый кодекс). Основанием для принятия решения послужил вывод налогового органа о неправомерном применении обществом специального налогового режима в виде упрощенной системы налогообложения ввиду формального соблюдения действующего законодательства с целью получения необоснованной налоговой выгоды посредством распределения доходов, полученных от оказания услуг по осуществлению пассажирских перевозок, между несколькими подконтрольными организациями, применяющими систему налогообложения в виде единого налога на вмененный доход. Оценив представленные в материалы дела доказательства, суды, руководствуясь положениями статей 246.11, 346.12, 346.13 (в редакции Федерального закона от 25.06.2012 № 94-ФЗ), 346.19, 346.20 Налогового кодекса, разъяснениями, изложенными в постановлении Пленума Высшего Арбитражного Суда Российской Федерации от 12.10.2006 № 53 «Об оценке 3 арбитражными судами обоснованности получения налогоплательщиком налоговой выгоды», пришли к выводу о наличии у налогового органа правовых оснований для принятия решения ввиду доказанности совокупности обстоятельств, свидетельствующих о направленности действий общества на получение необоснованной налоговой выгоды в виде применения специального налогового режима путем разделения (дробления) бизнеса и искусственного распределения выручки от осуществляемой деятельности на подконтрольные организации. При этом суды отметили, что между заявителем и подконтрольными ему организациями разделение деятельности фактически отсутствует, субъекты организационно не обособлены и их деятельность является частью единого производственного процесса, направленного на достижение общего экономического результата. Доводы, изложенные в кассационной жалобе, в том числе о неверном определении инспекцией средней численности работников, являлись предметом рассмотрения судов и получили надлежащую правовую оценку с учетом установленных обстоятельств дела. Несогласие заявителя с выводами судов, иная оценка им фактических обстоятельств дела и иное применение к ним положений закона не означают допущенной при рассмотрении дела судебной ошибки, не подтверждают существенных нарушений норм права, повлиявших на исход дела, и не могут служить основанием для отмены судебных актов в кассационном порядке. При таких обстоятельствах,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«АвтоКлуб Рязани»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