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20.06.2019 иск удовлетворен. Постановлением Девятого арбитражного апелляционного суда от 23.09.2019 решение суда первой инстанции отменено, в удовлетворении иска отказано. В кассационной жалобе, поданной в Верховный Суд Российской Федерации, компания, ссылаясь на нарушение судом апелляционной инстанции норм материального и процессуального права, просит отменить его постановление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состоявшегося по делу судебного акта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заключенного сторонами договора от 10.06.2015 № 32-15 на разработку проектной и рабочей документации (далее – договор), руководствуясь статьей 330 Гражданского кодекса Российской Федерации, суд апелляционной инстанции пришел к выводу об отсутствии оснований для удовлетворения иска. В частности, суд исходил из того, что в силу пункта 4.2 договора обязанность общества по оплате наступает после выставления компанией счета-фактуры, доказательств направления и получения ответчиком которого истец не представил. Доводы кассационной жалобы не подтверждают существенных нарушений судом апелляционной инстанции норм материального и процессуального права, повлиявших на исход дела, и не являются достаточным основанием для пересмотра обжалуемого судебного акта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«Архитектурная Производственная Компания»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"Архитектурная производственная компания" (подробнее) Ответчики: ООО ПСК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