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25.04.2019, оставленным без изменения постановлением Одиннадцатого арбитражного апелляционного суда от 08.07.2019 и постановлением Арбитражного суда Поволжского округа от 19.09.2019, первоначальные исковые требования удовлетворены, в удовлетворении встречного иска отказано. В кассационной жалобе, поданной в Верховный Суд Российской Федерации, департамент,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требований предприятия о взыскании задолженности и удовлетворении требований департамента о взыскании неустойки.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329 , 330 , 401 , 404 , 711 , 716 , 718 , 746 , 753 , 759 Гражданского кодекса Российской Федерации, установив факт выполнения предприятием предусмотренных муниципальным контрактом работ, получения их результата департаментом, неполучения заключения государственной экспертизы и нарушения предприятием сроков выполнения работ по вине департамента, пришли к выводу о наличии у последнего обязанности по оплате работ и отсутствии оснований для взыскания с предприятия неустойки. С указанными выводами впоследствии согласился суд округа. Доводы кассационной жалобы были предметом рассмотрения судов и получили правовую оценку, не опровергают выводы судов, направлены на переоценку обстоятельств дела, установленных судами,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Департамента градостроительства городского округа Самара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ГУП Самарской области Институт "ТеррНИИгражданпроект" (подробнее) Ответчики: департамент градостроительства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