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17.07.2019 исковые требования удовлетворены. Постановлением Восемнадцатого арбитражного апелляционного суда от 03.09.2019, оставленным без изменения постановлением Арбитражного суда Уральского округа от 21.11.2019, решение отменено и в удовлетворении иска отказано. В кассационной жалобе общество «УралФанСтрой» просит об отмене судебных актов апелляционного и окружного судов вследствие неправильной оценки заключенного в период рассмотрения дела соглашения и его последствий.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апелляционной инстанции установлено, что соглашение от 28.03.2019 заключено в период рассмотрения дела и исполнено, поэтому спор правомерно признан урегулированным сторонами, в связи с чем в иске отказано. Уплаченная за подачу иска государственная пошлина возмещается в пользу стороны по правилам статьи 110 Арбитражного процессуального кодекса Российской Федерации в составе судебных расходов, которые при отказе в иске взысканию не подлежат.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«УралФанСтрой»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"УРАЛФАНСТРОЙ" (подробнее) Ответчики: ООО "Проминвест"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