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Андреев А.В. обратился в суд с заявлением о процессуальной замене кредитора – общества с ограниченной ответственностью «СК БАКО» на себя в реестре требований кредиторов должника. Определением Арбитражного суда города Москвы от 03.07.2019, оставленным без изменения постановлениями Девятого арбитражного апелляционного суда от 29.08.2019 и Арбитражного суда Московского округа от 24.10.2019,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83, 134, 142 Федерального закона от 26.10.2002 № 127-ФЗ «О несостоятельности (банкротстве)», исходили из того, что погашение требований должника третьим лицом без согласия кредитора возможно только на стадии проверки обоснованности заявления о банкротстве и только в полном объёме. В противном случае суброгация признаётся несостоявшейся, а в процессуальном правопреемстве подобного требования следует отказать. При таких условиях суды признали несостоявшимся правопреемство в материальном правоотношении, что повлекло невозможность осуществления процессуальной замены кредитора в деле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