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Камчатского края от 11.04.2019, оставленным без изменения постановлением Пятого арбитражного апелляционного суда от 26.06.2019, взыскано 700 000 рублей убытков и 11 826 рублей расходов на юридические услуги. Арбитражный суд Дальневосточного округа постановлением от 30.09.2019 решение от 11.04.2019 и постановление Пятого арбитражного апелляционного суда от 26.06.2019 оставил без изменения. В кассационной жалобе предприниматель просит об отмене указанных судебных актов вследствие несоответствия размера взысканной упущенной выгоды представленным доказательствам.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Размер упущенной выгоды определен судами исходя из установленных обстоятельств дела и действующей судебной практики применения статей 15 , 393 Гражданского кодекса Российской Федерации. Доводы заявителя, касающиеся оценки представленных доказательств,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ИП Крылова Ольга Дмитриевна (подробнее) Представитель истца Григоренко В.А. (подробнее) Ответчики: государственное бюджетное учреждение здравоохранения Камчатского края "Петропавловск-Камчатская городская детская поликлиника №1" (подробнее) Иные лица: Управление Федерального казначейства по Камчатскому краю (подробнее) Управление Федеральной службы судебных приставов по Камчатскому краю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