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«Вектор» (заказчик) обратилось в Арбитражный суд города Москвы с иском о взыскании с общества с ограниченной ответственностью «Мидлант Хант» (исполнителя) 600 000 рублей предварительной оплаты в связи с ненадлежащим исполнением обязательств по договору об оказании информационных услуг по подбору персонала от 24.04.2018 № МХ-144-04/2018. Определением Арбитражного суда города Москвы от 16.01.2019 для совместного рассмотрения с первоначальным иском принят встречный иск ООО «Мидланд Хант» к ООО «Вектор» о признании договора от 24.04.2018 № МХ-144-04/2018 заключенным и взыскании 872 729 рублей 22 копеек задолженности.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«Жупиков». Решением Арбитражного суда города Москвы от 30.04.2019 первоначальный иск удовлетворен, в удовлетворении встречного иска отказано. Постановлением Девятого арбитражного апелляционного суда от 29.07.2019 решение суда первой инстанции оставлено без изменения. Арбитражный суд Московского округа постановлением от 22.10.2019 указанные судебные акты оставил без изменения. Общество с ограниченной ответственностью «Мидлант Хант»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перечисления заказчиком аванса и отсутствие доказательств оказания услуг исполнителем, руководствуясь положениями статей 309 , 310 , 779 , 781 , 782 Гражданского кодекса Российской Федерации, суды пришли к выводу о наличии основания для удовлетворения первоначального иска и отказа в удовлетворении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«Мидлант Хант»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"Вектор" (подробнее) Ответчики: ООО "МИДЛАНД ХАНТ"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