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«СПЕЦПРОЕКТ» (далее – общество) обратилось в суд с заявлением о намерении удовлетворить в полном объёме все требования кредиторов в рамках настоящего дела. Определением Арбитражного суда Омской области от 26.08.2019, оставленным без изменения постановлением Восьмого арбитражного апелляционного суда от 29.10.2019, заявление удовлетворено.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2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57, 113, 116, 125, 213.17 Федерального закона от 26.10.2002 № 127-ФЗ «О несостоятельности (банкротстве)», исходили из наличия оснований для удовлетворения заявления о намерении, ранее поданного обществом и не отказавшимся от него, что отвечало целям и задачам процедуры реструктуризации долгов гражданина в условиях невозможности восстановления платёжеспособности должника, погашения требований перед кредитором и утверждения плана реструктуризации долгов гражданина.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«Ф-Консалтинг» и финансовому управляющему имуществом гражданина Любчича Ивана Никитовича Наймаеру Владимиру Владимировичу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