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21.01.2019, оставленным без изменения постановлением Второго арбитражного апелляционного суда от 17.05.2019 и постановлением Арбитражного суда Волго-Вятского округа от 04.10.2019, в удовлетворении иска отказано. В кассационной жалобе, поданной в Верховный Суд Российской Федерации, компания просит отменить указанные судебные акты, ссылаясь на нарушение судами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Из судебных актов следует, что компания (арендатор), обращаясь в арбитражный суд с иском по настоящему делу, сослалась на несвоевременное предоставление обществом (арендодателем) транспортных средств в рамках договора от 01.06.2016 № 186/16 транспортных средств без экипажа в редакции дополнительного соглашения (далее – договор).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, 431 Гражданского кодекса Российской Федерации, суды первой и апелляционной инстанций пришли к выводу об отсутствии оснований для удовлетворения иска, исходя из неподтвержденности истцом факта нарушения ответчиком условий договора в части подачи транспортных средств в спорный период, а также обязанности последнего по предоставлению транспортных средств в конкретные даты. С указанными выводами впоследствии согласился суд округа. Довод заявителя о нарушении судом апелляционной инстанции норм процессуального права, выразившегося в отказе в приобщении дополнительных доказательств к материалам дела, был предметом рассмотрения суда округа и не нашел своего подтверждения; выводы апелляционного и окружного судов соответствуют положениям части 2 статьи 268 Арбитражного процессуального кодекса Российской Федерации. Иные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Транспортная компания «Новотранс»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Транспортная компания Ространс (подробнее) Ответчики: ООО Сервисная компания Велес (подробнее) Иные лица: Межрайонная ИФНС №3 по Республике Коми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