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25.04.2019, оставленным без изменения постановлением Второго арбитражного апелляционного суда от 02.08.2019, в удовлетворении иска отказано по мотиву несоответствия требования о выплате страхового возмещения в денежной форме условиям договора страхования. Арбитражный суд Волго-Вятского округа постановлением от 25.10.2019 решение от 25.04.2019 и постановление Второго арбитражного апелляционного суда от 02.08.2019 оставил без изменения. В кассационной жалобе общество просит об отмене указанных судебных актов как незаконных, ссылаясь на несвоевременное исполнение страховщиком обязательства по осуществлению ремонта автомобиля.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страховщиком необходимых в силу договора страхования средств наземного транспорта от 01.08.2017 № 07305/046/3868005/7 действий в целях возмещения убытков в связи с повреждением транспортного средства. Нарушение договорных сроков ремонта автомобиля на станции технического обслуживания, на которое ссылается общество, не является основанием для выплаты страхового возмещения в отличной от согласованной в договоре форме.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«Мастер 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"Мастерлюкс" (подробнее) Ответчики: АО "АльфаСтрахование" Ивановский филиал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