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11.02.2019 в редакции определения об исправлении опечатки от 15.02.2019, оставленным без изменения постановлением Девятого арбитражного апелляционного суда от 26.06.2019, иск удовлетворен. Арбитражный суд Московского округа постановлением от 27.09.2019 решение от 11.02.2019 (с учетом определения от 15.02.2019) и постановление Девятого арбитражного апелляционного суда от 26.06.2019 оставил без изменения. В кассационной жалобе общество «Сантехтепло» просит об отмене указанных судебных актов, ссылаясь на неустановление причинно- следственной связи между качеством поставленного товара и возмещенными убытками.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Образование возмещенных истцом убытков вследствие брака поставленного ответчиком крана установлена на основании исследованного судом акта от 26.12.2017 и не опровергнуто ответчиком.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«Сантехтепло»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СПАО Ингосстрах (подробнее) Ответчики: ООО САНТЕХТЕПЛО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