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29.01.2019, оставленным без изменения постановлением Восьмого арбитражного апелляционного суда от 04.06.2019, иск удовлетворен. Постановлением Арбитражного суда Западно-Сибирского округа от 03.10.2019 решение суда первой инстанции и постановление суда апелляционной инстанции отменены, в иске отказано. В кассационной жалобе, поданной в Верховный Суд Российской Федерации, общество просит отменить постановление суда округа, ссылаясь на его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состоявшегося по делу судебного акта и доводов кассационной жалобы не установлено. Как следует из судебных актов, учреждение (заказчик) и общество (подрядчик) 11.01.2016 заключили муниципальный контракт № 0187300001215000671-0069015-01 на выполнение работ по ремонту объекта (далее – контракт). Вступившим в законную силу решением Арбитражного суда Ханты- Мансийского автономного округа – Югры от 04.06.2018 по делу № А75-5226/2018 контракт расторгнут в связи с существенными нарушениями его условий со стороны общества, с него в пользу учреждения взысканы неустойка за нарушение срока выполнения работ и штраф за неисполнение обязательств, предусмотренных контрактом. Подрядчик направил учреждению требование о возврате смонтированного при исполнении контракта оборудования и материалов либо предоставлении доступа его представителям для их монтажа или оплате их стоимости, неисполнение которого послужило основанием для обращения общества в арбитражный суд с настоящим иском. Удовлетворяя иск, суды первой и апелляционной инстанций признали доказанным факт неосновательного обогащения на стороне ответчика. Отменяя судебные акты судов первой и апелляционной инстанций, суд округа руководствовался статьями 16 , 69 Арбитражного процессуального кодекса Российской Федерации и исходил из того, что вопрос об исполнении обязательств по контракту каждой из сторон был предметом исследования в рамках дела № А75-13958/2016, по результатам рассмотрения которого суды пришли к выводу об отсутствии у заказчика обязательства по оплате стоимости работ и материалов; требование общества по настоящему делу фактически направлено на преодоление вступивших в законную силу судебных актов и не подлежит удовлетворению. Доводы кассационной жалобы не опровергают выводы суда округа,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Торгово-производственная Компания «Северный 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ТОРГОВО ПРОИЗВОДСТВЕННАЯ КОМПАНИЯ "СЕВЕРНЫЙ АЛЬЯНС" (подробнее) Ответчики: муниципальное бюджетное учреждение "Нижневартовский краеведческий музей имени Тимофея Дмитриевича Шуваева" (подробнее) Иные лица: Нижневартовская торгово-промышленная палата (подробнее) ООО "КАДАСТРОВАЯ ОЦЕНКА И ЭКСПЕРТИЗА"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