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28.02.2019, оставленным без изменения постановлением Девятого арбитражного апелляционного суда от 10.06.2019 и постановлением Арбитражного суда Московского округа от 25.09.2019,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города Москвы.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в том числе договор от 18.12.2017 № П27-2017 долгосрочной аренды нежилого помещения, соглашение о его расторжении от 01.10.2018, руководствуясь статьями 309 , 310 , 329 , 330 , 421 , 431 , 606 , 609 , 610 , 614 Гражданского кодекса Российской Федерации, установив факт неисполнения обществом обязательств по внесению арендной платы, оформлению произведенной им перепланировки, возмещению расходов на коммунальные услуги и электроэнергию, пришли к выводу о наличии оснований для удовлетворения исковых требований, с чем впоследствии согласился суд округа. Довод заявителя о том, что суд апелляционной инстанции не приобщил к материалам дела дополнительные доказательства, не может быть принят во внимание, поскольку не был заявлен в суде округа и не являлся предметом его рассмотрения. Иные доводы кассационной жалобы были предметом рассмотрения судов и получили правовую оценку, не опровергают выводы судов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«М.Ф.Р+»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ИП Шанина О.А. (подробнее) Ответчики: ООО "М.Ф.Р +"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