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Башкортостан от 01.02.2019 первоначальные исковые требования удовлетворены частично, с института в пользу общества взыскано 590 000 руб. задолженности, 80 000 руб. неустойки за период с 16.09.2017 по 12.11.2018, неустойка с 13.11.2018 по день погашения долга, в удовлетворении остальной части требований отказано. Встречные требования удовлетворены частично, с общества в пользу института взыскано 47 200 руб. неустойки, в удовлетворении остальной части требований отказано. Произведен зачет удовлетворенных требований. Постановлением Восемнадцатого арбитражного апелляционного суда от 19.06.2019 решение суда первой инстанции изменено. Первоначальные исковые требования удовлетворены частично, с института в пользу общества взыскано 590 000 руб. задолженности, 80 000 руб. неустойки за период с 16.09.2017 по 12.11.2018, неустойка с 13.11.2018 по день погашения долга, в удовлетворении остальной части требований отказано. Встречные требования удовлетворены частично, с общества в пользу института взыскано 387 063 руб. неустойки, в удовлетворении остальной части требований отказано. Произведен зачет удовлетворенных требований. Постановлением Арбитражного суда Уральского округа от 27.09.2019 постановление суда апелляционной инстанции оставлено без изменения. В кассационной жалобе, поданной в Верховный Суд Российской Федерации, общество просит отменить постановления суда апелляционной инстанции и округа в части удовлетворения встречных требований, ссылаясь на их незаконность.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195 , 196 , 202 , 203 , 329 , 330 , 708 Гражданского кодекса Российской Федерации, разъяснениями, приведенными в постановлении Пленума Верховного Суда Российской Федерации от 29.09.2015 № 43 «О некоторых вопросах, связанных с применением норм Гражданского кодекса Российской Федерации об исковой давности», признав подтвержденным факт выполнения обществом работ с нарушением предусмотренных договором сроков, принимая во внимание заявление последнего о пропуске срока исковой давности, суд апелляционной инстанции пришел к выводу о наличии оснований для взыскания с общества неустойки за трехлетний период, предшествующий дате подачи институтом искового заявления (с учетом приостановления течения срока исковой давности в связи с направлением досудебной претензии). При таких обстоятельствах, произведя перерасчет неустойки и не установив оснований для снижения ее размера по правилам статьи 333 Гражданского кодекса Российской Федерации, суд частично удовлетворил заявленные институтом требования. С указанными выводами впоследствии согласился суд округа.Доводы кассационной жалобы выводы судов апелляционной инстанции и округа с учетом установленных фактических обстоятельств не опровергают, не подтверждают существенных нарушений норм материального права и норм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«СибГеоСтрой»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"СибГеоСтрой" (подробнее) Ответчики: ООО "научно исследовательский проектный институт нефти и газа "Петон" (подробнее) Судьи дела: Чучунова Н.С. (судья) (подробнее) Судебная практика по: Исковая давность, по срокам давности Судебная практика по применению норм ст. 200, 202, 204, 205 ГК РФ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