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общество с ограниченной ответственностью «ТиссенКрупп Индастриал Солюшенс (РУС)» обратилось в суд с заявлением о признании недействительными договоров цессии от 24.07.2018 № 04/02, от 10.08.2018 № 04/03, от 17.09.2018 № 04/04, заключенных должником с обществом «РусРесурс»; применении последствий их недействительности. Определением Арбитражного суда Архангельской области от 15.02.2019, оставленным без изменения постановлениями Четырнадцатого арбитражного апелляционного суда от 24.07.2019 и Арбитражного суда Северо-Западного округа от 01.11.2019,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руководствовались статьями 167, 173.1 Гражданского кодекса Российской Федерации, статьей 2, 61.1, 61.2, 61.9, 64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совершения оспариваемых сделок заинтересованными лицами в процедуре наблюдения при отсутствии согласия временного управляющего должником, имевшим на момент их заключения неисполненные текущие обязательства. Выводы судов соответствуют нормам права, оснований для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«РусРесурс»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