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05.03.2019, оставленным без изменения постановлением Девятого арбитражного апелляционного суда от 03.06.2019 и постановлением Арбитражного суда Московского округа от 27.09.2019,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признано победителем электронного аукциона на оказание полиграфических услуг по изданию брошюры «Судебная практика 2016-2017 годы». Заказчиком 13.06.2018 на сайте оператора электронной площадки размещен проект контракта. Срок подписания проекта контракта и предоставления обеспечения его исполнения победителем аукциона – до 18.06.2018. В установленный срок общество не разместило проект контракта, подписанный усиленной электронной подписью, и не представило документ, подтверждающий предоставление обеспечения исполнения контракта. Данные обстоятельства послужили основанием для принятия заказчиком решения о признании победителя аукциона уклонившимся от заключения контракта и обращения в антимонопольный орган с заявлением о включении сведений об обществе в реестр недобросовестных поставщиков. Решением управления установлен факт уклонения участника аукциона от заключения контракта и сведения об обществе включены в реестр недобросовестных поставщиков. Оценив представленные в материалы дела доказательства, суды, руководствуясь положениями статей 54, 83.2, 96, 104 Федерального закона от 05.04.2013 № 44-ФЗ «О контрактной системе в сфере закупок товаров, работ, услуг для обеспечения государственных и муниципальных нужд»,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пришли к выводу о наличии у антимонопольного органа правовых оснований для включения сведений об обществе в реестр недобросовестных поставщиков ввиду доказанности недобросовестного поведения победителя аукциона, направленного на уклонение от заключения государственного контракта. Доводы, изложенные в кассационной жалобе, в том числе о невозможности представления обеспечения исполнения контракта ввиду внесения налоговым органом записи в Единый государственный реестр юридических лиц о недостоверности сведений, что привело к блокировке расчетного счета заявителя, сводятся к повторению позиции общества о возникновении внешних непредвиденных обстоятельств, не позволивших совершить определенные действия в установленный срок. Приведенные доводы являлись предметом рассмотрения судов и получили правовую оценку с учетом установленных обстоятельств дела, не подтверждают существенных нарушений норм материального и процессуального права, повлиявших на исход дела. По существу доводы жалобы выражают несогласие с выводами судов по фактическим обстоятельствам дела и основаны на ином применении к ним положений закона, что не может служить основанием для передачи кассационной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«Национальное агентство поддержки и развития»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"НАЦИОНАЛЬНОЕ АГЕНТСТВО ПОДДЕРЖКИ И РАЗВИТИЯ" (подробнее) Ответчики: Управление Федеральной антимонопольной службы по Московской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