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16.01.2019 иск удовлетворен. Постановлением Пятого арбитражного апелляционного суда от 19.06.2019 решение суда первой инстанции отменено, в удовлетворении иска отказано. Постановлением Арбитражного суда Дальневосточного округа от 27.09.2019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требования общества мотивированы наличием на стороне предпринимателя неосновательного обогащения в виде денежных средств, перечисленных истцом в отсутствие между сторонами договорных отношений.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 установил факт поставки предпринимателем обществу товара на спорную сумму и, руководствуясь статьями 8 , 1102 Гражданского кодекса Российской Федерации, пришел к выводу об отсутствии оснований для удовлетворения иска, с чем впоследствии согласился суд округа. Доводы кассационной жалобы были предметом рассмотрения судов апелляционной инстанции и округа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"АСК"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