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12.03.2019, оставленным без изменения постановлением Девятого арбитражного апелляционного суда от 01.07.2019 и постановлением Арбитражного суда Московского округа от 30.09.2019,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компании мотивированы ненадлежащим исполнением обществом (продавцом) обязательства по продаже товара надлежащего качества в рамках договора купли-продажи от 13.04.2017 № АЛК 82106/01-17НЖГ.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суды первой и апелляционной инстанций установили, что причиной неисправности спорной детали транспортного средства является производственный дефект, допущенный на стадии ее механической обработки перед сборкой готового изделия в условиях изготовителя. При таких обстоятельствах, руководствуясь статьями 309 , 310 , 457 , 469 , 470 , 475 , 476 Гражданского кодекса Российской Федерации, признав доказанным факт нарушения ответчиком требований к качеству товара, суды пришли к выводу о наличии оснований для удовлетворения исковых требований.С указанными выводами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«Трактористы»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"ЭЛИТХОЗ" (подробнее) Ответчики: ООО "ТРАКТОРИСТЫ" (подробнее) Иные лица: ООО "Приволжская экспертная компания" (подробнее) ООО "Центр экспертизы и оценки "ЕСИН" экспертам Жидкову М.А., Леденеву А.А.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