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18.04.2019, оставленным без изменения постановлением Пятого арбитражного апелляционного суда от 13.06.2019, заявленное требование удовлетворено. Постановлением Арбитражного суда Дальневосточного округа от 02.10.2019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отменить принятые по делу судебные акты,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установленный административным органом факт проживания иностранного гражданина по иному адресу, чем в органы миграционного контроля подано соответствующее уведомление. Частью 5 статьи 18.9 Кодекса Российской Федерации об административных правонарушениях установлена ответственность за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Оценив представленные доказательства и установив факт принятия обществом всех необходимых мер по реализации гарантий иностранного гражданина в период его пребывания на территории Российской Федерации, в том числе обеспечение его жилым помещением, суды пришли к выводу о недоказанности в действиях общества состава правонарушения, ответственность за которое предусмотрена частью 5 статьи 18.9 Кодекса Российской Федерации об административных правонарушениях. При этом суды исходили из того, что отказ иностранного гражданина от проживания в предоставленном жилом помещении сам по себе не свидетельствует о наличии в действиях общества состава вменяемого правонарушения. Основания для иных выводов, исходя из доводов жалобы, отсутствуют.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"Заречное" (подробнее) Ответчики: Отдел министерства внутренних дел Российской Федерации по Октябрьскому району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