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техники от 20.03.2015 № 05-2015, заключенного между должником и Булкиным Игорем Александровичем, и применении последствий недействительности сделки. Определением Арбитражного суда Иркутской области от 11.12.2018 отказано в удовлетворении требований. Постановлением Четвертого арбитражного апелляционного суда от 29.07.2019 отменено определение суда первой инстанции от 11.12.2018, требования удовлетворены. Постановлением Арбитражного суда Восточно-Сибирского округа от 17.10.2019 отменено постановление апелляционного суда от 29.07.2019, оставлено в силе определение суда первой инстанции от 11.12.2018.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Арбитражный суд Иркутской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позицией, изложенной в пункте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недоказанности совокупности обстоятельств для признания недействительной оспариваемой сделки. Суд округа, отменяя постановление апелляционного суда, согласился с выводами суда первой инстанции и, руководствуясь положениями статьи 486 Гражданского кодекса Российской Федерации, указал на право продавца потребовать оплаты переданнного товара в полном объёме с начислением соответствующих процентов. Выводы судов первой инстанции и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Несогласие заявителя с выводами судов первой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«Витим» Саитгарееву Геннадию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