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«Спецтех 46» обратилось в Арбитражный суд Курской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«Империя-Групп» 786 400 рублей задолженности по договору на оказание услуг от 14.04.2017 № 14/04 и 41 668 рублей 43 копеек процентов за пользование чужими денежными средствами за период с 02.10.2018 по 10.06.2019.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«ЯВА-Строй». Решением Арбитражного суда Курской области от 18.06.2019 иск удовлетворен. Постановлением Девятнадцатого арбитражного апелляционного суда от 22.08.2019 решение суда первой инстанции оставлено без изменения. 2 Арбитражный суд Центрального округа постановлением от 28.10.2019 указанные судебные акты отменил и направил дело на новое рассмотрение в суд первой инстанции. Общество с ограниченной ответственностью «Спецтех 46»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«Спецтех 46»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