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11.09.2019, оставленным без изменения определением того же суда от 24.09.2019, кассационная жалоба общества «ВОСТОК» на решение Арбитражного суда города Москвы от 28.12.2018 и постановление Девятого арбитражного апелляционного суда от 11.04.2019 возвращена как поданная за пределами срока на обжалование, в восстановлении которого отказано. В кассационной жалобе общество «ВОСТОК» просит отменить определения окружного суда, решение и постановление апелляционной инстанции как незаконные. Кассационная жалоба в части обжалования решения от 28.12.2018 и постановления апелляционного суда от 11.04.2019 подана с нарушением подсудности, установленной частью 1 статьи 291.1 Арбитражного процессуального кодекса Российской Федерации, поэтому не подлежит рассмотрению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определений окружного суда в связи с доводами жалобы не усматривается. Окружной суд, оценив приведенные заявителем причины пропуска срока на подачу кассационной жалобы, установил отсутствие объективно препятствовавших обстоятельств для своевременной подачи жалобы.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"Восток" (подробнее) Ответчики: ПАО Страховое "Ингосстрах"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