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22.07.2019, принятым в порядке упрощенного производства и оставленным без изменения постановлением Десятого арбитражного апелляционного суда от 23.09.2019, исковые требования удовлетворены. В кассационной жалобе общество просит отменить судебные акты как незаконные вследствие несоответствия выводов судов фактическим обстоятельствам дела.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 связи с доводами жалобы общества исследовал обстоятельства исполнения сторонами контракта от 17.10.2018 № 1818189100882000000000000/0348100075318000088 и установил нарушение исполнителем (обществом) обязательств, за которое контрактом предусмотрен штраф, поэтому поддержал решение о взыскании штрафа как соответствующее контракту и статьям 330 , 506 , 526 , 531 Гражданского кодекса Российской Федерации. Доводы жалобы об отсутствии доказательств направления заказчиком заявок, неподтвержденности некачественности товара, несоблюдении досудебного порядка урегулирования спора и неосновательном отказе в уменьшении штрафа рассмотрены апелляционным судом и отклонены как опровергающиеся установленными обстоятельствами исполнения контракта.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«ТРЕХСВЯТСКОЕ»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ФЕДЕРАЛЬНОЕ ГОСУДАРСТВЕННОЕ КАЗЕННОЕ УЧРЕЖДЕНИЕ "КЛИНИЧЕСКИЙ САНАТОРИЙ "КРАТОВО" (подробнее) Ответчики: ООО "ТРЁХСВЯТСКОЕ"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