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29.03.2019, оставленным без изменения постановлением Девятого арбитражного апелляционного суда от 08.08.2019, иск удовлетворен. Арбитражный суд Московского округа постановлением от 11.11.2019 решение от 29.03.2019 и постановление Девятого арбитражного апелляционного суда от 08.08.2019 оставил без изменения. В кассационной жалобе общество «Эксперт МСК» просит об отмене судебных актов, ссылаясь на подтвержденную судебными актами по другим делам необоснованность требований бенефициара.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Заявленные требования основаны на договоре о предоставлении банковской гарантии от 26.06.2018 № ГЭ-Ю-1502/18, заключенном между обществом и банком, который суд правомерно обязал общество исполнить вследствие осуществления банком выплаты по банковской гарантии третьему лицу. Возражения общества связаны с оказанием услуг по договору и не могут быть обращены к банку, не являющемуся стороной договора.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«Эксперт МСК»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Коммерческий банк "Славянский кредит" (подробнее) Ответчики: ООО "ЭКСПЕРТ МСК"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