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22.04.2019 в удовлетворении исковых требований отказано. Девятый арбитражный апелляционный суд определением от 18.07.2019 перешел к рассмотрению дела по правилам, установленным для рассмотрения дела в суде первой инстанции, в связи с наличием безусловных оснований, предусмотренных в пункте 2 части 4 статьи 270 Арбитражного процессуального кодекса Российской Федерации. Постановлением Девятого арбитражного апелляционного суда от 07.08.2019, оставленным без изменения постановлением Арбитражного суда Московского округа от 06.11.2019, решение суда первой инстанции отменено, с компании в пользу общества взыскано 1 722 402 руб. 37 коп. неосновательного обогащения, 1 000 000 руб. неустойки, 105 431 руб. 24 коп. расходов на электроэнергию, 707 071 руб. 79 коп. стоимости давальческого материала, в удовлетворении остальной части требований отказано. В кассационной жалобе, поданной в Верховный Суд Российской Федерации, компания, ссылаясь на нарушение судами апелляционной инстанции и округа норм материального и процессуального права, просит отменить их судебные акты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 апелляционной инстанции,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329 , 330 , 450 , 453 , 702 , 711 , 715 , 1102 Гражданского кодекса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перечисления обществом в адрес компании авансовых платежей в рамках договора, его расторжения по инициативе общества в связи с нарушением ответчиком сроков выполнения работ, отсутствие доказательств выполнения последним работ на спорную сумму либо ее возврата обществу, а также компенсации истцу расходов на потребленную электроэнергию и передачи ему неиспользованных давальческих материалов на заявленную сумму, пришел к выводу о наличии оснований для частичного удовлетворения исковых требований (с учетом уменьшения размера неустойки по правилам статьи 333 Гражданского кодекса Российской Федерации). С указанными выводами впоследствии согласился суд округа.Неправильное указание судом апелляционной инстанции в определении о принятии апелляционной жалобы к производству наименования истца не является основанием для отмены обжалуемых судебных актов, поскольку недостатки названного судебного акта могут быть устранены путем исправления опечатки в предусмотренном Арбитражным процессуальным кодексом Российской Федерации порядке. Доводы кассационной жалобы не подтверждают существенных нарушений апелляционным и окружным судами норм материального и процессуального права, которые могли повлиять на исход дела и являлись бы достаточным основанием для пересмотра обжалуемых судебных актов в кассационном порядке.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СК «СТРОЙ 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"БАРКЛИ КОНСТРАКШН СИСТЕМ" (подробнее) ООО "ЛОГИТЕК" (подробнее) Ответчики: ООО СК "СТРОЙ ПРОЕКТ"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