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представитель собрания его кредиторов Ловкина Анна Васильевна обратилась в суд с заявлением о признании незаконным бездействия конкурсного управляющего должником, выразившегося в непредставлении информации о сделках на сумму более 1 000 000 рублей, обязании конкурсного управляющего устранить допущенные нарушения предоставив копии документов о таких сделках, по формальным критериям способных подпасть под признаки недействительных сделок. Определением Арбитражного суда Свердловской области от 17.06.2019, оставленным без изменения постановлениями Семнадцатого арбитражного апелляционного суда от 17.06.2019 и Арбитражного суда Уральского округа от 09.10.2019, требования удовлетворены.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17, 20.3, 60, 189.78 и 189.82 Федерального закона от 26.10.2002 № 127-ФЗ «О несостоятельности (банкротстве)», исходили из доказанности наличия в действиях (бездействии) конкурсного управляющего должником вменяемых ему нарушений законодательства о несостоятельности, указав, что непредоставление указанной информации нарушает права и законные интересы кредиторов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судов и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конкурному управляющему акционерным обществом «Тагилбанк» – государственной корпорации «Агентство по страхованию вкладов»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