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07.02.2019 исковые требования удовлетворены. Постановлением Девятого арбитражного апелляционного суда от 28.05.2019 решение суда первой инстанции отменено, в удовлетворении исковых требований отказано. Постановлением Арбитражного суда Московского округа от 16.09.2019 постановление суда апелляционной инстанции отменено, решение суда первой инстанции оставлено в силе. В кассационной жалобе, поданной в Верховный Суд Российской Федерации, общество, ссылаясь на нарушение судами первой инстанции и округа норм права, просит отменить их судебные акты и оставить в силе постановление суда апелляционной инстанции.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состоявшихся по делу судебных актов и доводов кассационной жалобы не установлено. Суд первой инстанции, оценив по правилам статьи 71 Арбитражного процессуального кодекса Российской Федерации представленные в материалы дела доказательства, руководствуясь статьями 309 , 310 , 395 , 450.1 , 453 , 702 , 711 , 715 , 1102 Гражданского кодекса Российской Федерации, установив факт перечисления компанией в адрес общества авансового платежа в рамках договора, прекращения договора ввиду одностороннего отказа истца от его исполнения и отсутствие доказательств выполнения ответчиком работ на спорную сумму либо ее возврата истцу, пришел к выводу о наличии оснований для удовлетворения исковых требований, с чем впоследствии согласился суд округа. Доводы кассационной жалобы не опровергают выводы судов первой инстанции и округа, не подтверждают существенных нарушений норм материального и процессуального права, повлиявших на исход дела, и не являются достаточным основанием для пересмотра обжалуемых судебных актов в кассационном порядке. По существу доводы жалобы направлены на переоценку установленных фактических обстоятельств, что не входит в полномочия суда при кассационном производстве. Руководствуясь статьей 291.6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«ГИПРОКИНО»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 Суд: Верховный Суд РФ (подробнее) Истцы: ООО "КОЧ СТРОЙ" (подробнее) Ответчики: ООО "ГИПРОКИНО" (подробнее) Судьи дела: Чучунова Н.С. (судья) (подробнее) Судебная практика по: Неосновательное обогащение, взыскание неосновательного обогащения Судебная практика по применению нормы ст. 1102 ГК РФ По договору подряда Судебная практика по применению норм ст. 702, 703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