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Ярославской области от 31.07.2019, оставленным без изменения постановлением Второго арбитражного апелляционного суда от 03.10.2019, оспариваемое постановление признано незаконным и отменено в связи с малозначительность совершенного правонарушения. Предприниматель обратился в Верховный Суд Российской Федерации с кассационной жалобой, считая принятые по делу судебные акты незаконными и необоснованными. При изучении доводов жалобы и принятых по делу судебных актов оснований для удовлетворения жалобы не установлено. Как следует из судебных актов, основанием для привлечения к административной ответственности послужил установленный административным органом факт применения предпринимателем контрольно- кассовой техники при приеме платежей с использованием автономного автоматического платежного терминала, установленного в помещении торгового центра по адресу &lt;...&gt;, с нарушением требований пункта 2 статьи 4.2, пункта 1 статьи 4.3, пункты 1 и 6 статьи 4.7 Федерального закона от 22.05.2003 № 54-ФЗ «О применении контрольно- кассовой техники при осуществлении расчетов в Российской Федерации». Частью 4 статьи 14.5 Кодекса Российской Федерации об административных правонарушениях предусмотрена административная ответственность за применение контрольно-кассовой техники, которая не соответствует установленным требованиям, либо применение контрольно- кассовой техники с нарушением установленных законодательством Российской Федерации о применении контрольно-кассовой техники порядка регистрации контрольно-кассовой техники, порядка, сроков и условий ее перерегистрации, порядка и условий ее применения. Суды пришли к выводу о наличии в действиях предпринимателя состава правонарушения, ответственность за совершение которого установлена частью 4 статьи 14.5 Кодекса Российской Федерации об административных правонарушениях, однако отменили оспариваемое постановление в связи с малозначительность совершенного правонарушения. В жалобе предприниматель приводит доводы об отсутствии в его действиях состава вменяемого правонарушения. Между тем, указанные доводы получили исчерпывающую правовую оценку в обжалуемых судебных актах исходя из установленных обстоятельств, свидетельствующих о наличии у предпринимателя обязанности установить и зарегистрировать в налоговом органе контрольно-кассовую технику в составе автоматического устройства для расчетов и допущенных в связи с изложенным нарушениях порядка ее применения. Приведенные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обжалуемого судебного акта в кассационном порядке.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ИП Комиссаров Константин Борисович (подробнее) Ответчики: Инспекция Федеральной налоговой службы по г. Костроме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