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24.05.2019, оставленным без изменения постановлением Пятого арбитражного апелляционного суда от 03.07.2019, в удовлетворении заявленного требования отказано. 2 Постановлением Арбитражного суда Дальневосточного округа от 03.10.2019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судами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поскольку общество выдало из кассы наличные денежные средства в валюте Российской Федерации иностранному гражданину по договору займа.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3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резидентом валютной операции по выдаче (отчуждению) в пользу физических лиц - нерезидентов, либо получению от них валюты Российской Федерации, минуя счета в уполномоченных банках, валютным законодательством Российской Федерации не предусмотрена, в перечень исключений такая операция не входит. Суды признали, что процедура привлечения к административной ответственности не нарушена, срок давности привлечения к ответственности соблюден, штраф назначен ниже низшего размера санкции нормы, оснований для применения положений статей 2.9 и 4.1.1 Кодекса Российской Федерации об административных правонарушениях не имеется. Изложенные в жалобе доводы приводились при рассмотрении дела, получили надлежащую правовую оценку судов, и отклонены по мотивам, подробно изложенным в соответствующих судебных актах. 4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