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он обратился в суд с ходатайством об исключении из конкурсной массы имущества – 50 % доли в уставном капитале общества с ограниченной ответственностью «Точка Входа». Финансовый управляющий имуществом должника Проценко Павел Леонидович обратился в суд с ходатайством об утверждении положения о порядке, условиях и сроках реализации имущества гражданина (далее – положение о продаже), объединённым в одно производство для совместного рассмотрения с вышеуказанным ходатайством должника. Определением Арбитражного суда Московской области от 21.06.2019 принадлежащая должнику доля в уставном капитале общества «Точка Входа» исключена из конкурсной массы, в удовлетворении ходатайства финансового управляющего отказано. Постановлением Десятого арбитражного апелляционного суда от 23.09.2019, оставленным без изменения постановлением Арбитражного суда Московского округа от 21.11.2019, вышеуказанное определение отменено. Утверждено положение о продаже в редакции финансового управляющего, в удовлетворении ходатайства должника об исключении имущества из конкурсной массы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и разрешая спор, апелляционный суд руководствовался статьями 2, 213.25, 213.26 Федерального закона от 26.10.2002 № 127-ФЗ «О несостоятельности (банкротстве) (далее – Закон об банкротстве) и исходил из отсутствия оснований для исключения указанного должником имущества из конкурсной массы. Суд обоснованно отметил, что возможный спрос на приобретение доли формируется не только исходя из текущего состояния юридического лица и его кредиторской задолженности, но и с учётом перспективы его дальнейшей деятельности; в Законе о банкротстве утверждён порядок проведения торгов, в рамках которых и определяется действительная ликвидная привлекательность того или иного актива, выручка от реализации которого будет направлена на погашение требований кредиторов, а оспариваемым определением суд первой инстанции лишил конкурсных кредиторов возможности удовлетворить свои требования в каком- либо размере.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Кораеву Аслану Радиковичу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