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06.02.2019, оставленным без изменения постановлением Двенадцатого арбитражного апелляционного суда от 21.05.2019 и постановлением Арбитражного суда Поволжского округа от 26.09.2019, в удовлетворении заявленного требования отказано. 2 В кассационных жалобах, поданных в Верховный Суд Российской Федерации, администрация и комитет, ссылаясь на существенное нарушение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19.01.2017 № 109 «О предоставлении субсидий на возмещение затрат по круглосуточному содержанию сетей ливневой канализации и дренажа общегородского назначения» (далее – Постановление № 109), устанавливающего конкретного получателя субсидий – предприятия и препятствия добросовестной конкуренции между потенциальными участниками торгов.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4, 15 Закона о защите конкуренции, статьи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статьи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приказа Минтранса России от 16.11.2012 № 402 «Об утверждении Классификации работ по капитальному ремонту, ремонту и содержанию автомобильных дорог», статей 3,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нужд», принимая во внимание Положение о предоставлении субсидий, утвержденное Постановлением № 109, решение Саратовской городской Думы от 15.12.2016 № 9-67 «О бюджете муниципального образования «Город Саратов» на 2017 год», пришли к выводу 3 о наличии у управления правовых оснований для принятия решения ввиду доказанности неправомерного предоставления администрацией преимущества предприятию и ограничения конкуренции между иными потенциальными участниками торгов. Судебные инстанции исходили из того, что Положение о предоставлении субсидии, утвержденное Постановлением № 109, не предусматривает критерии определения получателя субсидии, в связи с чем невозможно установить, каким образом комитет осуществляет отбор получателя субсидии, в том числе кому и в каком соотношении будут предоставлены субсидии в случае наличия нескольких претендентов. При этом Постановлением № 109 установлен конкретный получатель субсидии - предприятие. Вместе с тем, деятельность по содержанию сетей ливневой канализации и дренажа общегородского назначения относится к вопросам местного значения городского округа и является муниципальной нуждой; рынок выполнения работ по обеспечению бесперебойного функционирования объектов теплоснабжения, водоснабжения и водоотведения, находящихся в муниципальной собственности, является конкурентным. При таких обстоятельствах, комитет, выделив субсидию предприятию в отсутствие конкурентных процедур (без осуществления закупок для муниципальных нужд), предоставил данному лицу преимущество, ограничив тем самым конкуренцию между потенциальными участниками торгов.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