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12.12.2018, оставленным без изменения постановлением Одиннадцатого арбитражного апелляционного суда от 21.02.2019 и постановлением Арбитражного суда Поволжского округа от 09.10.2019,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Банка России от 29.03.2018 № ОД-773 у банка отозвана лицензия на осуществление банковских операций. Общество 04.07.2018 предъявило в банк платежные поручения №№ 279, 280, 281 на перечисление денежных средств в счет уплаты налогов на общую сумму 3 588 368 рублей 87 копеек. Данные поручения приняты банком, однако денежные средства в указанном размере в бюджетную систему не поступили, что послужило основанием для вынесения инспекцией требования об уплате налога, сбора, страховых взносов, пени, штрафа, процентов по состоянию на 11.04.2018. Считая требование налогового органа незаконным, а обязанность по уплате налогов исполненной, общество обратилось в арбитражный суд. Отказывая в удовлетворении заявленных требований, суды, оценив представленные в материалы дела доказательства, руководствуясь положениями статей 23 , 38 , 44 , 45 , 57 , 69 , 70 , 173 , 174 , 287 , 379 , 383 Налогового кодекса Российской Федерации, статьи 3 Закона Самарской области от 25.11.2003 № 98-ГД «О налоге на имущество организаций на территории Самарской области», правовыми позициями Конституционного Суда Российской Федерации, изложенными в постановлении от 12.10.1998 № 24-П и определении от 25.07.2001 № 138-О, и Высшего Арбитражного Суда Российской Федерации, изложенной в постановлении Президиума от 17.12.2002 № 2257/02, пришли к выводу о законности требования инспекции и отсутствии правовых оснований для признания обязанности по уплате налога исполненной. Судебные инстанции исходили из того, что с учетом особенностей уплаты налога общество было осведомлено о наличии у банка финансовых трудностей с перечислением денежных средств клиентов и умышленно совершило недобросовестные действия, направленные на осуществление платежей при недостаточности средств на корреспондентском счете банка.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по делу. Несогласие заявителя жалобы с выводами судов, иная оценка фактических обстоятельств дела и иное применение к ним положений законодательства, не означают допущенной при рассмотрении дела судебной ошибки и не подтверждают существенных нарушений судами норм материального и норм процессуального права, которые могли повлиять на исход дела и являлись бы достаточным основанием для пересмотра судебных актов в кассационном порядке.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"Промстрой" (подробнее) Ответчики: ФНС России Инспекция по Промышленному району г. Самары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